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Bjuv kommunfullmäktige</w:t>
      </w:r>
    </w:p>
    <w:p>
      <w:pPr>
        <w:pStyle w:val="Heading1"/>
      </w:pPr>
      <w:r>
        <w:t xml:space="preserve">Kunskap först i Bjuvs skolor – mobilförbud, ordning och höjda resultat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Bjuv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Bjuvs kommun har ca 16 000 invånare och en stark industriell tradition. Enligt Skolverkets statistik och sammanställningar (Newsworthy 2025) ligger det genomsnittliga meritvärdet för årskurs 9 runt 190 poäng, klart under rikssnittet på cirka 228 poäng 2025. Endast cirka 78 procent av eleverna når behörighet till yrkesprogram på gymnasiet.</w:t>
      </w:r>
    </w:p>
    <w:p>
      <w:pPr>
        <w:spacing w:after="100"/>
      </w:pPr>
      <w:r>
        <w:t xml:space="preserve">I en kommun med historiskt arbetarklassprägel och pendlingsberoende är det avgörande att skolorna ger alla elever en stark kunskapsgrund. Brister i studiero, mobilanvändning under lektioner och varierande lärarbehörighet har lyfts i kommunens egna budgetdokument och politisk debatt. Elever och föräldrar i Bjuv förtjänar samma höga kunskapsambitioner som i resten av landet.</w:t>
      </w:r>
    </w:p>
    <w:p>
      <w:pPr>
        <w:spacing w:after="100"/>
      </w:pPr>
      <w:r>
        <w:t xml:space="preserve">Moderaterna vill att kunskap ska stå i centrum. Fler behöriga lärare, tydligare ordningsregler, mobilpolicy under lektioner, satsning på läromedel och systematisk uppföljning är åtgärder som visat sig fungera i andra kommuner. En sådan satsning stärker också Bjuvs attraktivitet för barnfamiljer och näringsliv.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Bjuv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barn- och utbildningsnämnden i uppdrag att ta fram en handlingsplan för höjda kunskapsresultat i Bjuvs kommunala skolor, med särskilt fokus på fler behöriga lärare, läromedel och systematisk uppföljning.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en kommunövergripande policy för mobilfria lektioner i grundskolan från höstterminen 2026, i linje med nationella rekommendationer.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avsätta riktade medel i budget 2027 för kompetensutveckling av lärare, inköp av läromedel och extrainsatser för elever som riskerar att inte nå målen.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årligen redovisa kommunens genomsnittliga meritvärde, behörighetsgrad och lärarbehörighet till kommunfullmäktige som en del av kvalitetsuppföljningen.</w:t>
      </w:r>
    </w:p>
    <w:p>
      <w:pPr>
        <w:spacing w:before="360"/>
      </w:pPr>
    </w:p>
    <w:p>
      <w:r>
        <w:t xml:space="preserve">Bjuv,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Bjuv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2026-06-06T01:48:19.476Z</dcterms:created>
  <dcterms:modified xsi:type="dcterms:W3CDTF">2026-06-06T01:48:19.476Z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